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1087F" w:rsidRDefault="00C0670E">
      <w:pPr>
        <w:rPr>
          <w:rFonts w:ascii="黑体" w:eastAsia="黑体" w:hAnsi="黑体" w:cs="黑体"/>
          <w:szCs w:val="32"/>
        </w:rPr>
      </w:pPr>
      <w:bookmarkStart w:id="0" w:name="红头"/>
      <w:r>
        <w:rPr>
          <w:rFonts w:ascii="黑体" w:eastAsia="黑体" w:hAnsi="黑体" w:cs="黑体" w:hint="eastAsia"/>
          <w:szCs w:val="32"/>
        </w:rPr>
        <w:t>附件</w:t>
      </w:r>
      <w:r w:rsidR="008908FF">
        <w:rPr>
          <w:rFonts w:ascii="黑体" w:eastAsia="黑体" w:hAnsi="黑体" w:cs="黑体"/>
          <w:szCs w:val="32"/>
        </w:rPr>
        <w:t>4</w:t>
      </w:r>
    </w:p>
    <w:p w:rsidR="0041087F" w:rsidRDefault="00C0670E">
      <w:pPr>
        <w:spacing w:beforeLines="50" w:before="217" w:afterLines="50" w:after="217" w:line="360" w:lineRule="auto"/>
        <w:jc w:val="center"/>
        <w:rPr>
          <w:rFonts w:ascii="宋体" w:eastAsia="宋体" w:hAnsi="宋体"/>
          <w:b/>
          <w:sz w:val="44"/>
          <w:szCs w:val="28"/>
        </w:rPr>
      </w:pPr>
      <w:r>
        <w:rPr>
          <w:rFonts w:ascii="宋体" w:eastAsia="宋体" w:hAnsi="宋体" w:hint="eastAsia"/>
          <w:b/>
          <w:sz w:val="44"/>
          <w:szCs w:val="28"/>
        </w:rPr>
        <w:t>国家更年期保健特色专科评估标准（</w:t>
      </w:r>
      <w:r>
        <w:rPr>
          <w:rFonts w:ascii="宋体" w:eastAsia="宋体" w:hAnsi="宋体" w:hint="eastAsia"/>
          <w:b/>
          <w:sz w:val="44"/>
          <w:szCs w:val="28"/>
        </w:rPr>
        <w:t>2020</w:t>
      </w:r>
      <w:r>
        <w:rPr>
          <w:rFonts w:ascii="宋体" w:eastAsia="宋体" w:hAnsi="宋体" w:hint="eastAsia"/>
          <w:b/>
          <w:sz w:val="44"/>
          <w:szCs w:val="28"/>
        </w:rPr>
        <w:t>版</w:t>
      </w:r>
      <w:r>
        <w:rPr>
          <w:rFonts w:ascii="宋体" w:eastAsia="宋体" w:hAnsi="宋体" w:hint="eastAsia"/>
          <w:b/>
          <w:sz w:val="44"/>
          <w:szCs w:val="28"/>
        </w:rPr>
        <w:t>）</w:t>
      </w:r>
    </w:p>
    <w:tbl>
      <w:tblPr>
        <w:tblW w:w="151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2086"/>
        <w:gridCol w:w="2973"/>
        <w:gridCol w:w="8745"/>
      </w:tblGrid>
      <w:tr w:rsidR="0041087F">
        <w:trPr>
          <w:trHeight w:val="440"/>
          <w:jc w:val="center"/>
        </w:trPr>
        <w:tc>
          <w:tcPr>
            <w:tcW w:w="1370" w:type="dxa"/>
            <w:vAlign w:val="center"/>
          </w:tcPr>
          <w:p w:rsidR="0041087F" w:rsidRDefault="00C0670E">
            <w:pPr>
              <w:adjustRightInd w:val="0"/>
              <w:snapToGrid w:val="0"/>
              <w:jc w:val="center"/>
              <w:rPr>
                <w:rFonts w:ascii="仿宋_GB2312" w:hAnsi="仿宋"/>
                <w:b/>
                <w:kern w:val="0"/>
                <w:sz w:val="20"/>
                <w:szCs w:val="20"/>
              </w:rPr>
            </w:pPr>
            <w:r>
              <w:rPr>
                <w:rFonts w:ascii="仿宋_GB2312" w:hAnsi="仿宋" w:hint="eastAsia"/>
                <w:b/>
                <w:kern w:val="0"/>
                <w:sz w:val="20"/>
                <w:szCs w:val="20"/>
              </w:rPr>
              <w:t>评估指标</w:t>
            </w:r>
          </w:p>
        </w:tc>
        <w:tc>
          <w:tcPr>
            <w:tcW w:w="5059" w:type="dxa"/>
            <w:gridSpan w:val="2"/>
            <w:vAlign w:val="center"/>
          </w:tcPr>
          <w:p w:rsidR="0041087F" w:rsidRDefault="00C0670E">
            <w:pPr>
              <w:adjustRightInd w:val="0"/>
              <w:snapToGrid w:val="0"/>
              <w:jc w:val="center"/>
              <w:rPr>
                <w:rFonts w:ascii="仿宋_GB2312" w:hAnsi="仿宋"/>
                <w:b/>
                <w:kern w:val="0"/>
                <w:sz w:val="20"/>
                <w:szCs w:val="20"/>
              </w:rPr>
            </w:pPr>
            <w:r>
              <w:rPr>
                <w:rFonts w:ascii="仿宋_GB2312" w:hAnsi="仿宋" w:hint="eastAsia"/>
                <w:b/>
                <w:kern w:val="0"/>
                <w:sz w:val="20"/>
                <w:szCs w:val="20"/>
              </w:rPr>
              <w:t>评估内容</w:t>
            </w:r>
          </w:p>
        </w:tc>
        <w:tc>
          <w:tcPr>
            <w:tcW w:w="8745" w:type="dxa"/>
            <w:tcBorders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center"/>
              <w:rPr>
                <w:rFonts w:ascii="仿宋_GB2312" w:hAnsi="仿宋"/>
                <w:b/>
                <w:kern w:val="0"/>
                <w:sz w:val="20"/>
                <w:szCs w:val="20"/>
              </w:rPr>
            </w:pPr>
            <w:r>
              <w:rPr>
                <w:rFonts w:ascii="仿宋_GB2312" w:hAnsi="仿宋" w:hint="eastAsia"/>
                <w:b/>
                <w:kern w:val="0"/>
                <w:sz w:val="20"/>
                <w:szCs w:val="20"/>
              </w:rPr>
              <w:t>评估标准</w:t>
            </w:r>
          </w:p>
        </w:tc>
      </w:tr>
      <w:tr w:rsidR="0041087F">
        <w:trPr>
          <w:trHeight w:val="90"/>
          <w:jc w:val="center"/>
        </w:trPr>
        <w:tc>
          <w:tcPr>
            <w:tcW w:w="1370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专科建设（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100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6" w:type="dxa"/>
            <w:vMerge w:val="restart"/>
            <w:tcBorders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1.1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专科发展规划（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1.1.1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制定更年期保健专科发展规划，促进专科发展（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更年期保健工作被纳入机构整体发展规划，确定更年期保健业务重点发展方向和目标（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9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有更年期保健专科发展规划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(3-5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)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，内容包括目标任务、措施、评估指标、激励机制等，并开展评估（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ind w:rightChars="-32" w:right="-102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本机构重视更年期保健工作，近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年对更年期保健工作有专项经费支持，主要包括本机构对更年期保健日常工作、软件和硬件建设等工作的经费支持（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9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更年期保健门诊的开设时间≥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年，且有更年期保健诊疗科目（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314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 w:val="restart"/>
            <w:tcBorders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1.2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专科制度（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1.2.1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建立健全并严格执行专科规范和制度，加强专科管理（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制定并执行专科岗位职责、主要诊疗常规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规范，符合《更年期保健专科建设和管理指南》的相关要求（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9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制定并执行专科管理制度，符合《更年期保健专科建设和管理指南》的相关要求（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9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服务记录表单齐全，符合《更年期保健专科建设和管理指南》的相关要求（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制定方便就医的服务流程，并有落实措施（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 w:val="restart"/>
            <w:tcBorders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1.3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多学科协作（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1.3.1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为更年期妇女提供综合性、多学科、全方位的医疗保健服务（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建立更年期保健多学科协作团队，并有相关文件（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608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建立更年期保健门诊与其他科室会诊、转诊、病例讨论机制，有更年期保健多学科协作工作流程，体现各方职责，并有相关资料和记录（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专科服务（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590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6" w:type="dxa"/>
            <w:vMerge w:val="restart"/>
            <w:tcBorders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2.1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服务提供（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540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服务量（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年更年期保健门诊年均门诊量≥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筛查评估（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服务内容规范、齐全（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年筛查评估年均服务量≥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9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健康档案建立与管理（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</w:t>
            </w:r>
            <w:bookmarkStart w:id="1" w:name="_GoBack"/>
            <w:bookmarkEnd w:id="1"/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建立针对更年期保健的专科病历系统或者平台，并定期进行工作数据总结、数据核查和质量控制（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98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健康档案内容规范齐全，涵盖营养与体重管理、运动指导、心理保健等（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84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年建立健康档案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年均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份数≥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份（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份按比例得分</w:t>
            </w:r>
          </w:p>
        </w:tc>
      </w:tr>
      <w:tr w:rsidR="0041087F">
        <w:trPr>
          <w:trHeight w:val="135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健康档案专人专案管理，并定期进行随访、记录，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年健康档案随访率≥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80%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80%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按比例得分</w:t>
            </w:r>
          </w:p>
        </w:tc>
      </w:tr>
      <w:tr w:rsidR="0041087F">
        <w:trPr>
          <w:trHeight w:val="245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2.1.4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营养与体重管理（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服务内容规范齐全（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157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在三级预防各层面均有具体可操作的关键性保健技术（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136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病历文书内容合理、完整（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65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年营养状况评估年均服务量≥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179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运动指导和管理（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服务内容规范齐全（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98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在三级预防各层面均有具体可操作的关键性保健技术（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98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病历文书内容合理、完整（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318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年运动功能评估年均服务量≥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272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2.1.6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心理保健（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服务内容规范齐全（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75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在三级预防各层面均有具体的服务措施和内容，并有可操作的关键性保健技术（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28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病历文书内容合理、完整（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92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年心理状况评估年均服务量≥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257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2.1.7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性与生殖保健（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服务内容规范齐全（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33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在三级预防各层面均有具体的服务措施和内容，并有可操作的关键性保健技术（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30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病历文书内容合理、完整（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439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年年均服务量（性生活评分、性保健指导、避孕指导、生殖道炎症诊治等）≥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232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2.1.8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性激素治疗与管理（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服务内容规范齐全（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315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病历及专案管理档案内容合理、完整（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498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年性激素治疗患者专案管理率逐年提高（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年性激素治疗患者专案管理率≥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80%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80%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按比例得分</w:t>
            </w:r>
          </w:p>
        </w:tc>
      </w:tr>
      <w:tr w:rsidR="0041087F">
        <w:trPr>
          <w:trHeight w:val="25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盆底康复（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服务内容规范齐全（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76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在三级预防各层面均有具体的服务措施和内容，并有可操作的关键性保健技术（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7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病历文书内容合理、完整（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71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年盆底康复指导年均服务量≥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223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中医药保健与治疗（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服务内容规范齐全（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8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在三级预防各层面均有具体的服务措施和内容，并有可操作的关键性保健技术（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33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病历文书内容合理、完整（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34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年中医药保健与治疗年均服务量≥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307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2.1.11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健康教育（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有年度工作计划和工作方案（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分），工作管理档案完整、规范（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75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本机构有系统、实用、有针对性的更年期保健健康教育材料，须体现更年期保健核心信息（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65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每年至少开展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次更年期保健门诊患者核心信息知晓情况调查（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分），根据调查结果有针对性地开展健康教育活动，并有持续改进措施（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7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年院内更年期健康教育活动≥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313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年本机构与社会多部门联合开展院外更年期健康教育活动次数≥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年按比例得分</w:t>
            </w:r>
          </w:p>
        </w:tc>
      </w:tr>
      <w:tr w:rsidR="0041087F">
        <w:trPr>
          <w:trHeight w:val="534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6.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利用微信公众号、微博、抖音、快手等新媒体渠道开展健康教育活动，新媒体健康教育渠道≥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种（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分）；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年新媒体健康教育作品数量≥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份、并有一定社会影响力（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332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每年至少开展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次更年期保健健康教育满意度调查（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年更年期保健健康教育活动满意度≥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90%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90%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按比例得分</w:t>
            </w:r>
          </w:p>
        </w:tc>
      </w:tr>
      <w:tr w:rsidR="0041087F">
        <w:trPr>
          <w:trHeight w:val="70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2.2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服务模式（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50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2.2.1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特色服务模式（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建立以人为本、多学科协作服务模式，提供一站式、连续性、个体化优质便民服务，并有近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年的考核指标、效果评价等（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498"/>
          <w:jc w:val="center"/>
        </w:trPr>
        <w:tc>
          <w:tcPr>
            <w:tcW w:w="1370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人力资源（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6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3.1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医护人员（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50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3.1.1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人才梯队建设（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制定更年期保健人才培养计划和实施方案，有体现人才培养效果和激励机制的量化评分标准，并予以落实（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9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更年期保健门诊高级职称医师数量≥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建立并落实学科带头人选拔与激励机制，有相应的量化评分标准，并予以落实（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632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3.1.2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人员资质（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更年期保健门诊的人员均具备相应的执业资质，并具备妇产科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妇女保健专业知识和技能（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分）。有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人不符合条件，则不得分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3.1.3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人才培养（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建立并实施更年期保健门诊人员规范化培训、岗位培训制度（包括妇科内分泌、心理、营养等），有相应的量化评分标准，并予以落实（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2.2019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年组织更年期保健门诊人员进行业务学习次数≥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3.2019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年派员参加更年期保健领域的国内外学术会议及培训班≥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人次按比例得分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专科负责人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3.2.1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技术职务（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高级专业技术职称（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3.2.2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工作年限（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年以上妇产科或妇女保健工作经验（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3.2.3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管理能力（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年以上管理工作经验（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18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学科带头人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3.3.1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技术职务（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正高级专业技术职称（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3.3.2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工作年限（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年以上妇产科或妇女保健工作经验（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3.3.3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学术团体任职（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年在国家级更年期保健领域相关学术团体中担任常委以上职务，或在省级更年期保健领域相关学术团体中担任主委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副主委（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 w:val="restart"/>
            <w:tcBorders>
              <w:top w:val="single" w:sz="4" w:space="0" w:color="000000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服务场所设备设施（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70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6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4.1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房屋（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4.1.1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房屋设置（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设置诊室、检查室、心理检测室、功能检查室等（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4.1.2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建筑布局（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bottom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各区域布局合理，就诊便捷，并有良好的私密性（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54"/>
          <w:jc w:val="center"/>
        </w:trPr>
        <w:tc>
          <w:tcPr>
            <w:tcW w:w="1370" w:type="dxa"/>
            <w:vMerge/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4.2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设备（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Merge w:val="restart"/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4.2.1.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基本设备（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bottom w:val="single" w:sz="4" w:space="0" w:color="auto"/>
            </w:tcBorders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更年期保健门诊设备配备率≥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95%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95%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按比例得分</w:t>
            </w:r>
          </w:p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更年期保健门诊应配备的设备包括：体重秤、血压计、妇科检查床及相关检查设备、人体成分分析仪、盆底功能康复设备、更年期综合征筛查相关量表、营养和心理评估工具等。</w:t>
            </w:r>
          </w:p>
        </w:tc>
      </w:tr>
      <w:tr w:rsidR="0041087F">
        <w:trPr>
          <w:trHeight w:val="755"/>
          <w:jc w:val="center"/>
        </w:trPr>
        <w:tc>
          <w:tcPr>
            <w:tcW w:w="1370" w:type="dxa"/>
            <w:vMerge/>
            <w:tcBorders>
              <w:bottom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bottom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bottom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bottom w:val="single" w:sz="4" w:space="0" w:color="auto"/>
            </w:tcBorders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机构其他基本设备配备率≥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95%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95%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按比例得分</w:t>
            </w:r>
          </w:p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机构内应配备的其他基本设备包括：心电图仪、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B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超诊断仪、骨密度检查设备（双能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线或定量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CT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）、阴道镜、乳腺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线摄影系统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血尿常规、血生化、生殖道分泌物、内分泌等检测设备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宫颈细胞学采集设备等。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专科管理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160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5.1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科研情况（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70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5.1.1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科研课题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项目（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45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年牵头负责与本专科有关的国家级科研课题（国自然、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973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863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、科技部重大专项、国家科技支撑计划、国家星火计划、国家火炬计划）≥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年牵头负责与本专科有关的省部级科研课题≥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&lt;5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年专科人员获得过省级以上科技成果奖（国家级排名前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名，省级排名前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名）≥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项按比例得分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jc w:val="left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科研成果得到转化，为当地卫生健康行政部门决策提供参考，并在一定范围内得到推广（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5.1.2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文章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专著（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年发表与本专科有关的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SCI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文章影响因子合计值≥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年出版了与本专科有关的主编著作≥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部（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部按比例得分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widowControl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5.1.3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教学（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承担与本专科有关的临床教学或带教任务（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jc w:val="center"/>
              <w:rPr>
                <w:rFonts w:ascii="仿宋_GB2312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_GB2312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napToGrid w:val="0"/>
                <w:kern w:val="0"/>
                <w:sz w:val="20"/>
                <w:szCs w:val="20"/>
              </w:rPr>
              <w:t>5.2</w:t>
            </w:r>
            <w:r>
              <w:rPr>
                <w:rFonts w:ascii="仿宋" w:eastAsia="仿宋" w:hAnsi="仿宋" w:hint="eastAsia"/>
                <w:bCs/>
                <w:snapToGrid w:val="0"/>
                <w:kern w:val="0"/>
                <w:sz w:val="20"/>
                <w:szCs w:val="20"/>
              </w:rPr>
              <w:t>能力提升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/>
                <w:kern w:val="0"/>
                <w:sz w:val="20"/>
                <w:szCs w:val="20"/>
              </w:rPr>
              <w:t>50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5.2.1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开展培训（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年举办省级以上与本专科有关的继续医学教育项目培训班≥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次按比例得分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jc w:val="center"/>
              <w:rPr>
                <w:rFonts w:ascii="仿宋_GB2312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5.2.2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接收人员进修（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年接收更年期保健进修人员≥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名，且有进修人员考核评估报告和更年期保健进修工作总结报告（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名按比例得分；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jc w:val="center"/>
              <w:rPr>
                <w:rFonts w:ascii="仿宋_GB2312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5.2.3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基层技术指导（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年对基层医疗机构开展与本专科有关的技术指导≥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次（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分）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，并有工作总结报告（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次按比例得分</w:t>
            </w:r>
          </w:p>
        </w:tc>
      </w:tr>
      <w:tr w:rsidR="0041087F">
        <w:trPr>
          <w:trHeight w:val="532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jc w:val="center"/>
              <w:rPr>
                <w:rFonts w:ascii="仿宋_GB2312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5.2.4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专科引领（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年本机构培养的人员（含进修人员、研究生等）成为所在机构更年期保健学科带头人的数量≥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名（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分），＜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名按比例得分</w:t>
            </w:r>
          </w:p>
        </w:tc>
      </w:tr>
      <w:tr w:rsidR="0041087F">
        <w:trPr>
          <w:trHeight w:val="515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jc w:val="center"/>
              <w:rPr>
                <w:rFonts w:ascii="仿宋_GB2312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近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年，本机构至少与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家基层医疗保健机构建立转会诊网络，并有基层更年期保健服务能力提升报告及数据资料（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20"/>
          <w:jc w:val="center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5.3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信息管理（</w:t>
            </w:r>
            <w:r>
              <w:rPr>
                <w:rFonts w:ascii="仿宋" w:eastAsia="仿宋" w:hAnsi="仿宋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5.3.1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收集、分析、上报和反馈相关数据和信息（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建立机构内更年期保健工作核心指标（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分），收集相关数据并进行电子化管理（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分），并且能够与医院的信息系统数据互联互通（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tr w:rsidR="0041087F">
        <w:trPr>
          <w:trHeight w:val="194"/>
          <w:jc w:val="center"/>
        </w:trPr>
        <w:tc>
          <w:tcPr>
            <w:tcW w:w="1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41087F">
            <w:pPr>
              <w:adjustRightInd w:val="0"/>
              <w:snapToGrid w:val="0"/>
              <w:rPr>
                <w:rFonts w:ascii="仿宋" w:eastAsia="仿宋" w:hAnsi="仿宋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87F" w:rsidRDefault="00C0670E">
            <w:pPr>
              <w:adjustRightInd w:val="0"/>
              <w:snapToGrid w:val="0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对更年期保健工作核心指标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每半年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进行分析（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分），形成数据分析报告（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分），制定并落实工作持续改进措施（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分）</w:t>
            </w:r>
          </w:p>
        </w:tc>
      </w:tr>
      <w:bookmarkEnd w:id="0"/>
    </w:tbl>
    <w:p w:rsidR="0041087F" w:rsidRDefault="0041087F"/>
    <w:sectPr w:rsidR="0041087F">
      <w:footerReference w:type="default" r:id="rId7"/>
      <w:footerReference w:type="first" r:id="rId8"/>
      <w:pgSz w:w="16838" w:h="11906" w:orient="landscape"/>
      <w:pgMar w:top="720" w:right="720" w:bottom="720" w:left="720" w:header="851" w:footer="992" w:gutter="0"/>
      <w:cols w:space="720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70E" w:rsidRDefault="00C0670E">
      <w:r>
        <w:separator/>
      </w:r>
    </w:p>
  </w:endnote>
  <w:endnote w:type="continuationSeparator" w:id="0">
    <w:p w:rsidR="00C0670E" w:rsidRDefault="00C06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charset w:val="86"/>
    <w:family w:val="swiss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87F" w:rsidRDefault="00C0670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1087F" w:rsidRDefault="00C0670E">
                          <w:pPr>
                            <w:pStyle w:val="a8"/>
                            <w:rPr>
                              <w:rFonts w:eastAsia="仿宋_GB2312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908FF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41087F" w:rsidRDefault="00C0670E">
                    <w:pPr>
                      <w:pStyle w:val="a8"/>
                      <w:rPr>
                        <w:rFonts w:eastAsia="仿宋_GB2312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908FF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87F" w:rsidRDefault="00C0670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1087F" w:rsidRDefault="00C0670E">
                          <w:pPr>
                            <w:pStyle w:val="a8"/>
                            <w:rPr>
                              <w:rFonts w:eastAsia="仿宋_GB2312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908F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AQf81wHQIAABw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41087F" w:rsidRDefault="00C0670E">
                    <w:pPr>
                      <w:pStyle w:val="a8"/>
                      <w:rPr>
                        <w:rFonts w:eastAsia="仿宋_GB2312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908F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70E" w:rsidRDefault="00C0670E">
      <w:r>
        <w:separator/>
      </w:r>
    </w:p>
  </w:footnote>
  <w:footnote w:type="continuationSeparator" w:id="0">
    <w:p w:rsidR="00C0670E" w:rsidRDefault="00C067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60"/>
  <w:drawingGridVerticalSpacing w:val="435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883"/>
    <w:rsid w:val="00007295"/>
    <w:rsid w:val="00060D11"/>
    <w:rsid w:val="000C508E"/>
    <w:rsid w:val="000D5576"/>
    <w:rsid w:val="0010682D"/>
    <w:rsid w:val="001B2D75"/>
    <w:rsid w:val="001B728C"/>
    <w:rsid w:val="001D6B44"/>
    <w:rsid w:val="001F3945"/>
    <w:rsid w:val="00226DA1"/>
    <w:rsid w:val="002946C3"/>
    <w:rsid w:val="00314F6A"/>
    <w:rsid w:val="00352224"/>
    <w:rsid w:val="003647C8"/>
    <w:rsid w:val="0039385E"/>
    <w:rsid w:val="003C7718"/>
    <w:rsid w:val="003D4CEB"/>
    <w:rsid w:val="003E129E"/>
    <w:rsid w:val="0041087F"/>
    <w:rsid w:val="00460AE5"/>
    <w:rsid w:val="004E5562"/>
    <w:rsid w:val="00503A45"/>
    <w:rsid w:val="00586F30"/>
    <w:rsid w:val="005B13B0"/>
    <w:rsid w:val="005F090B"/>
    <w:rsid w:val="00660188"/>
    <w:rsid w:val="006660CD"/>
    <w:rsid w:val="006704D4"/>
    <w:rsid w:val="007562DE"/>
    <w:rsid w:val="007669C2"/>
    <w:rsid w:val="007D2883"/>
    <w:rsid w:val="007D51AB"/>
    <w:rsid w:val="007D70BD"/>
    <w:rsid w:val="007E6D3A"/>
    <w:rsid w:val="0083060B"/>
    <w:rsid w:val="008333FB"/>
    <w:rsid w:val="008360AE"/>
    <w:rsid w:val="00836A57"/>
    <w:rsid w:val="008449C9"/>
    <w:rsid w:val="00874B02"/>
    <w:rsid w:val="008863FC"/>
    <w:rsid w:val="008908FF"/>
    <w:rsid w:val="008A2087"/>
    <w:rsid w:val="008C5919"/>
    <w:rsid w:val="008E735A"/>
    <w:rsid w:val="008F392A"/>
    <w:rsid w:val="009209B4"/>
    <w:rsid w:val="00951277"/>
    <w:rsid w:val="009943DB"/>
    <w:rsid w:val="009B1020"/>
    <w:rsid w:val="009E5BC1"/>
    <w:rsid w:val="009F5F4D"/>
    <w:rsid w:val="00A50F05"/>
    <w:rsid w:val="00A6032A"/>
    <w:rsid w:val="00A634F5"/>
    <w:rsid w:val="00A70F34"/>
    <w:rsid w:val="00A93F8F"/>
    <w:rsid w:val="00B171BD"/>
    <w:rsid w:val="00B44E46"/>
    <w:rsid w:val="00B50827"/>
    <w:rsid w:val="00BC7185"/>
    <w:rsid w:val="00C0670E"/>
    <w:rsid w:val="00C46808"/>
    <w:rsid w:val="00CD188D"/>
    <w:rsid w:val="00CE5EE5"/>
    <w:rsid w:val="00D63492"/>
    <w:rsid w:val="00D932BB"/>
    <w:rsid w:val="00DD22AA"/>
    <w:rsid w:val="00E00E25"/>
    <w:rsid w:val="00E95C3D"/>
    <w:rsid w:val="00EA08B4"/>
    <w:rsid w:val="00EA778B"/>
    <w:rsid w:val="00F55A8F"/>
    <w:rsid w:val="00F664A4"/>
    <w:rsid w:val="00F835D1"/>
    <w:rsid w:val="00FA1037"/>
    <w:rsid w:val="00FF5DEA"/>
    <w:rsid w:val="0718280F"/>
    <w:rsid w:val="08013D3C"/>
    <w:rsid w:val="0820366E"/>
    <w:rsid w:val="0A2B5396"/>
    <w:rsid w:val="0AFB421D"/>
    <w:rsid w:val="0DE13160"/>
    <w:rsid w:val="1209140E"/>
    <w:rsid w:val="187426B5"/>
    <w:rsid w:val="1AAF0913"/>
    <w:rsid w:val="1FE95C41"/>
    <w:rsid w:val="2171067A"/>
    <w:rsid w:val="2442572E"/>
    <w:rsid w:val="2A7D7420"/>
    <w:rsid w:val="2FA7273E"/>
    <w:rsid w:val="2FC35879"/>
    <w:rsid w:val="2FE407F6"/>
    <w:rsid w:val="32B81A70"/>
    <w:rsid w:val="32C03F5C"/>
    <w:rsid w:val="331F19E5"/>
    <w:rsid w:val="33560791"/>
    <w:rsid w:val="356A4BBD"/>
    <w:rsid w:val="37091EAD"/>
    <w:rsid w:val="37470ACB"/>
    <w:rsid w:val="3D9B6443"/>
    <w:rsid w:val="3E4C7541"/>
    <w:rsid w:val="401E4AC2"/>
    <w:rsid w:val="406F2063"/>
    <w:rsid w:val="416F64BC"/>
    <w:rsid w:val="42B44077"/>
    <w:rsid w:val="435B0AED"/>
    <w:rsid w:val="442C4003"/>
    <w:rsid w:val="45EB23D7"/>
    <w:rsid w:val="46E516B2"/>
    <w:rsid w:val="4E1C42C2"/>
    <w:rsid w:val="52986DB6"/>
    <w:rsid w:val="54DA608E"/>
    <w:rsid w:val="57114C44"/>
    <w:rsid w:val="57FE324E"/>
    <w:rsid w:val="5BAA2A67"/>
    <w:rsid w:val="637C10B0"/>
    <w:rsid w:val="640148C9"/>
    <w:rsid w:val="6409109C"/>
    <w:rsid w:val="645C57A0"/>
    <w:rsid w:val="656336D6"/>
    <w:rsid w:val="6648189A"/>
    <w:rsid w:val="687E42FA"/>
    <w:rsid w:val="6C574EB4"/>
    <w:rsid w:val="6DE133BA"/>
    <w:rsid w:val="6DEF578E"/>
    <w:rsid w:val="717F5648"/>
    <w:rsid w:val="781566B3"/>
    <w:rsid w:val="7BF22115"/>
    <w:rsid w:val="7CB1364F"/>
    <w:rsid w:val="7D6E411F"/>
    <w:rsid w:val="7DC37EA7"/>
    <w:rsid w:val="7EA3776A"/>
    <w:rsid w:val="7F00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4B1077-DE0B-4E60-B846-63D9AA6A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rFonts w:eastAsia="宋体"/>
      <w:b/>
      <w:bCs/>
      <w:sz w:val="21"/>
    </w:rPr>
  </w:style>
  <w:style w:type="paragraph" w:styleId="a4">
    <w:name w:val="annotation text"/>
    <w:basedOn w:val="a"/>
    <w:link w:val="Char1"/>
    <w:uiPriority w:val="99"/>
    <w:qFormat/>
    <w:pPr>
      <w:jc w:val="left"/>
    </w:pPr>
  </w:style>
  <w:style w:type="paragraph" w:styleId="a5">
    <w:name w:val="Body Text"/>
    <w:basedOn w:val="a"/>
    <w:link w:val="Char0"/>
    <w:qFormat/>
    <w:pPr>
      <w:spacing w:after="120"/>
    </w:pPr>
    <w:rPr>
      <w:rFonts w:eastAsia="宋体"/>
      <w:sz w:val="21"/>
    </w:rPr>
  </w:style>
  <w:style w:type="paragraph" w:styleId="a6">
    <w:name w:val="Body Text Indent"/>
    <w:basedOn w:val="a"/>
    <w:link w:val="Char2"/>
    <w:qFormat/>
    <w:pPr>
      <w:spacing w:line="360" w:lineRule="auto"/>
      <w:ind w:firstLine="600"/>
    </w:pPr>
    <w:rPr>
      <w:sz w:val="30"/>
    </w:rPr>
  </w:style>
  <w:style w:type="paragraph" w:styleId="a7">
    <w:name w:val="Balloon Text"/>
    <w:basedOn w:val="a"/>
    <w:link w:val="Char3"/>
    <w:qFormat/>
    <w:rPr>
      <w:rFonts w:eastAsia="宋体"/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aa">
    <w:name w:val="Subtitle"/>
    <w:basedOn w:val="a"/>
    <w:next w:val="a"/>
    <w:link w:val="Char6"/>
    <w:qFormat/>
    <w:pPr>
      <w:spacing w:before="240" w:after="60" w:line="312" w:lineRule="auto"/>
      <w:outlineLvl w:val="1"/>
    </w:pPr>
    <w:rPr>
      <w:rFonts w:ascii="Cambria" w:eastAsia="楷体_GB2312" w:hAnsi="Cambria"/>
      <w:b/>
      <w:bCs/>
      <w:kern w:val="28"/>
      <w:szCs w:val="32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c">
    <w:name w:val="Strong"/>
    <w:qFormat/>
    <w:rPr>
      <w:b/>
      <w:bCs/>
    </w:rPr>
  </w:style>
  <w:style w:type="character" w:styleId="ad">
    <w:name w:val="page number"/>
    <w:qFormat/>
  </w:style>
  <w:style w:type="character" w:styleId="ae">
    <w:name w:val="FollowedHyperlink"/>
    <w:uiPriority w:val="99"/>
    <w:unhideWhenUsed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  <w:szCs w:val="21"/>
    </w:rPr>
  </w:style>
  <w:style w:type="table" w:styleId="af2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paragraph" w:customStyle="1" w:styleId="Style20">
    <w:name w:val="_Style 20"/>
    <w:uiPriority w:val="99"/>
    <w:unhideWhenUsed/>
    <w:qFormat/>
    <w:rPr>
      <w:rFonts w:eastAsia="仿宋_GB2312"/>
      <w:kern w:val="2"/>
      <w:sz w:val="32"/>
      <w:szCs w:val="24"/>
    </w:rPr>
  </w:style>
  <w:style w:type="paragraph" w:customStyle="1" w:styleId="10">
    <w:name w:val="样式1"/>
    <w:basedOn w:val="a"/>
    <w:qFormat/>
    <w:rPr>
      <w:rFonts w:ascii="仿宋_GB2312"/>
      <w:sz w:val="2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eastAsia="宋体"/>
      <w:sz w:val="21"/>
    </w:rPr>
  </w:style>
  <w:style w:type="paragraph" w:customStyle="1" w:styleId="ListParagraph1">
    <w:name w:val="List Paragraph1"/>
    <w:basedOn w:val="a"/>
    <w:uiPriority w:val="34"/>
    <w:qFormat/>
    <w:pPr>
      <w:ind w:firstLineChars="200" w:firstLine="420"/>
    </w:p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rFonts w:ascii="Calibri" w:eastAsia="宋体" w:hAnsi="Calibri"/>
    </w:rPr>
  </w:style>
  <w:style w:type="character" w:customStyle="1" w:styleId="Char1">
    <w:name w:val="批注文字 Char1"/>
    <w:link w:val="a4"/>
    <w:uiPriority w:val="99"/>
    <w:qFormat/>
    <w:rPr>
      <w:rFonts w:eastAsia="仿宋_GB2312"/>
      <w:kern w:val="2"/>
      <w:sz w:val="32"/>
      <w:szCs w:val="24"/>
    </w:rPr>
  </w:style>
  <w:style w:type="character" w:customStyle="1" w:styleId="Char3">
    <w:name w:val="批注框文本 Char"/>
    <w:link w:val="a7"/>
    <w:qFormat/>
    <w:rPr>
      <w:kern w:val="2"/>
      <w:sz w:val="18"/>
      <w:szCs w:val="18"/>
    </w:rPr>
  </w:style>
  <w:style w:type="character" w:customStyle="1" w:styleId="Char10">
    <w:name w:val="批注框文本 Char1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11">
    <w:name w:val="正文文本缩进 Char1"/>
    <w:qFormat/>
    <w:rPr>
      <w:rFonts w:eastAsia="仿宋_GB2312"/>
      <w:kern w:val="2"/>
      <w:sz w:val="32"/>
      <w:szCs w:val="24"/>
    </w:rPr>
  </w:style>
  <w:style w:type="character" w:customStyle="1" w:styleId="concon20071">
    <w:name w:val="concon20071"/>
    <w:uiPriority w:val="99"/>
    <w:qFormat/>
    <w:rPr>
      <w:sz w:val="19"/>
    </w:rPr>
  </w:style>
  <w:style w:type="character" w:customStyle="1" w:styleId="Char5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1Char">
    <w:name w:val="标题 1 Char"/>
    <w:link w:val="1"/>
    <w:qFormat/>
    <w:rPr>
      <w:rFonts w:eastAsia="黑体"/>
      <w:b/>
      <w:bCs/>
      <w:kern w:val="44"/>
      <w:sz w:val="32"/>
      <w:szCs w:val="44"/>
    </w:rPr>
  </w:style>
  <w:style w:type="character" w:customStyle="1" w:styleId="Char12">
    <w:name w:val="页眉 Char1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2">
    <w:name w:val="正文文本缩进 Char"/>
    <w:link w:val="a6"/>
    <w:qFormat/>
    <w:rPr>
      <w:rFonts w:eastAsia="仿宋_GB2312"/>
      <w:kern w:val="2"/>
      <w:sz w:val="30"/>
      <w:szCs w:val="24"/>
    </w:rPr>
  </w:style>
  <w:style w:type="character" w:customStyle="1" w:styleId="Char13">
    <w:name w:val="批注主题 Char1"/>
    <w:qFormat/>
    <w:rPr>
      <w:rFonts w:eastAsia="仿宋_GB2312"/>
      <w:b/>
      <w:bCs/>
      <w:kern w:val="2"/>
      <w:sz w:val="32"/>
      <w:szCs w:val="24"/>
    </w:rPr>
  </w:style>
  <w:style w:type="character" w:customStyle="1" w:styleId="Char6">
    <w:name w:val="副标题 Char"/>
    <w:link w:val="aa"/>
    <w:qFormat/>
    <w:rPr>
      <w:rFonts w:ascii="Cambria" w:eastAsia="楷体_GB2312" w:hAnsi="Cambria"/>
      <w:b/>
      <w:bCs/>
      <w:kern w:val="28"/>
      <w:sz w:val="32"/>
      <w:szCs w:val="32"/>
    </w:rPr>
  </w:style>
  <w:style w:type="character" w:customStyle="1" w:styleId="Char7">
    <w:name w:val="批注文字 Char"/>
    <w:uiPriority w:val="99"/>
    <w:qFormat/>
    <w:rPr>
      <w:kern w:val="2"/>
      <w:sz w:val="21"/>
      <w:szCs w:val="24"/>
    </w:rPr>
  </w:style>
  <w:style w:type="character" w:customStyle="1" w:styleId="Char14">
    <w:name w:val="页脚 Char1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批注主题 Char"/>
    <w:link w:val="a3"/>
    <w:qFormat/>
    <w:rPr>
      <w:b/>
      <w:bCs/>
      <w:kern w:val="2"/>
      <w:sz w:val="21"/>
      <w:szCs w:val="24"/>
    </w:rPr>
  </w:style>
  <w:style w:type="character" w:customStyle="1" w:styleId="Char20">
    <w:name w:val="副标题 Char2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5">
    <w:name w:val="正文文本 Char1"/>
    <w:qFormat/>
    <w:rPr>
      <w:rFonts w:eastAsia="仿宋_GB2312"/>
      <w:kern w:val="2"/>
      <w:sz w:val="32"/>
      <w:szCs w:val="24"/>
    </w:rPr>
  </w:style>
  <w:style w:type="character" w:customStyle="1" w:styleId="Char16">
    <w:name w:val="副标题 Char1"/>
    <w:uiPriority w:val="11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4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0">
    <w:name w:val="正文文本 Char"/>
    <w:link w:val="a5"/>
    <w:qFormat/>
    <w:rPr>
      <w:kern w:val="2"/>
      <w:sz w:val="21"/>
      <w:szCs w:val="24"/>
    </w:rPr>
  </w:style>
  <w:style w:type="table" w:customStyle="1" w:styleId="13">
    <w:name w:val="网格型1"/>
    <w:basedOn w:val="a1"/>
    <w:uiPriority w:val="9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修订1"/>
    <w:hidden/>
    <w:uiPriority w:val="99"/>
    <w:semiHidden/>
    <w:qFormat/>
    <w:rPr>
      <w:rFonts w:eastAsia="仿宋_GB2312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4062</Characters>
  <Application>Microsoft Office Word</Application>
  <DocSecurity>0</DocSecurity>
  <Lines>33</Lines>
  <Paragraphs>9</Paragraphs>
  <ScaleCrop>false</ScaleCrop>
  <Company>Powerise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卫 生 部 司（局）便 函</dc:title>
  <dc:creator>vv</dc:creator>
  <cp:lastModifiedBy>王燕</cp:lastModifiedBy>
  <cp:revision>6</cp:revision>
  <cp:lastPrinted>2020-06-16T07:08:00Z</cp:lastPrinted>
  <dcterms:created xsi:type="dcterms:W3CDTF">2020-06-19T07:38:00Z</dcterms:created>
  <dcterms:modified xsi:type="dcterms:W3CDTF">2022-07-15T02:03:00Z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